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843"/>
        <w:gridCol w:w="1276"/>
        <w:gridCol w:w="283"/>
        <w:gridCol w:w="2937"/>
        <w:gridCol w:w="236"/>
        <w:gridCol w:w="1125"/>
        <w:gridCol w:w="2055"/>
        <w:gridCol w:w="1125"/>
      </w:tblGrid>
      <w:tr w:rsidR="00A17C86" w:rsidRPr="00A17C86" w:rsidTr="00A17C86">
        <w:trPr>
          <w:trHeight w:val="255"/>
        </w:trPr>
        <w:tc>
          <w:tcPr>
            <w:tcW w:w="1843"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Level</w:t>
            </w:r>
          </w:p>
        </w:tc>
        <w:tc>
          <w:tcPr>
            <w:tcW w:w="1276"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2937"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Provinsi Papua</w:t>
            </w:r>
          </w:p>
        </w:tc>
        <w:tc>
          <w:tcPr>
            <w:tcW w:w="236"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1125"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2055"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1125"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A17C86">
        <w:trPr>
          <w:trHeight w:val="255"/>
        </w:trPr>
        <w:tc>
          <w:tcPr>
            <w:tcW w:w="3119"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3173"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Implementasi Kinerja</w:t>
            </w:r>
          </w:p>
        </w:tc>
        <w:tc>
          <w:tcPr>
            <w:tcW w:w="1125"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2055"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1125"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A17C86">
        <w:trPr>
          <w:trHeight w:val="255"/>
        </w:trPr>
        <w:tc>
          <w:tcPr>
            <w:tcW w:w="1843"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2937"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2055"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A17C86">
        <w:trPr>
          <w:trHeight w:val="255"/>
        </w:trPr>
        <w:tc>
          <w:tcPr>
            <w:tcW w:w="3402" w:type="dxa"/>
            <w:gridSpan w:val="3"/>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Isu dalam PGA REDD+</w:t>
            </w:r>
          </w:p>
        </w:tc>
        <w:tc>
          <w:tcPr>
            <w:tcW w:w="6353" w:type="dxa"/>
            <w:gridSpan w:val="4"/>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I. Perencanaan Kehutanan dan Tata Ruang </w:t>
            </w:r>
          </w:p>
        </w:tc>
        <w:tc>
          <w:tcPr>
            <w:tcW w:w="1125"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A17C86">
        <w:trPr>
          <w:trHeight w:val="300"/>
        </w:trPr>
        <w:tc>
          <w:tcPr>
            <w:tcW w:w="3119"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a. Tingkat penerimaan (legitimasi) atas dokumen RTRWP/RTRWK/Kehutanan</w:t>
            </w:r>
          </w:p>
        </w:tc>
      </w:tr>
      <w:tr w:rsidR="00A17C86" w:rsidRPr="00A17C86" w:rsidTr="00A17C86">
        <w:trPr>
          <w:trHeight w:val="300"/>
        </w:trPr>
        <w:tc>
          <w:tcPr>
            <w:tcW w:w="3119"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382"/>
        <w:gridCol w:w="1811"/>
        <w:gridCol w:w="1096"/>
        <w:gridCol w:w="1596"/>
        <w:gridCol w:w="1107"/>
        <w:gridCol w:w="1797"/>
        <w:gridCol w:w="1382"/>
      </w:tblGrid>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FIa1</w:t>
            </w:r>
          </w:p>
        </w:tc>
        <w:tc>
          <w:tcPr>
            <w:tcW w:w="1382" w:type="dxa"/>
            <w:vMerge w:val="restart"/>
            <w:tcBorders>
              <w:top w:val="nil"/>
              <w:left w:val="single" w:sz="4" w:space="0" w:color="auto"/>
              <w:bottom w:val="single" w:sz="4" w:space="0" w:color="000000"/>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Bagaimana (tingkat) penerimaan (legitimasi) </w:t>
            </w:r>
            <w:r w:rsidRPr="00A17C86">
              <w:rPr>
                <w:rFonts w:ascii="Times New Roman" w:eastAsia="Times New Roman" w:hAnsi="Times New Roman" w:cs="Times New Roman"/>
                <w:i/>
                <w:iCs/>
                <w:color w:val="000000"/>
                <w:sz w:val="20"/>
                <w:szCs w:val="20"/>
                <w:lang w:eastAsia="id-ID"/>
              </w:rPr>
              <w:t xml:space="preserve">stakeholder </w:t>
            </w:r>
            <w:r w:rsidRPr="00A17C86">
              <w:rPr>
                <w:rFonts w:ascii="Times New Roman" w:eastAsia="Times New Roman" w:hAnsi="Times New Roman" w:cs="Times New Roman"/>
                <w:color w:val="000000"/>
                <w:sz w:val="20"/>
                <w:szCs w:val="20"/>
                <w:lang w:eastAsia="id-ID"/>
              </w:rPr>
              <w:t>atas dokumen RTRWP/RTRWK/Kehutanan?</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Tingkat penerimaan (legitimasi) </w:t>
            </w:r>
            <w:r w:rsidRPr="00A17C86">
              <w:rPr>
                <w:rFonts w:ascii="Times New Roman" w:eastAsia="Times New Roman" w:hAnsi="Times New Roman" w:cs="Times New Roman"/>
                <w:i/>
                <w:iCs/>
                <w:color w:val="000000"/>
                <w:sz w:val="20"/>
                <w:szCs w:val="20"/>
                <w:lang w:eastAsia="id-ID"/>
              </w:rPr>
              <w:t xml:space="preserve">stakeholder </w:t>
            </w:r>
            <w:r w:rsidRPr="00A17C86">
              <w:rPr>
                <w:rFonts w:ascii="Times New Roman" w:eastAsia="Times New Roman" w:hAnsi="Times New Roman" w:cs="Times New Roman"/>
                <w:color w:val="000000"/>
                <w:sz w:val="20"/>
                <w:szCs w:val="20"/>
                <w:lang w:eastAsia="id-ID"/>
              </w:rPr>
              <w:t>atas dokumen RTRWP/ RTRWK/ Kehutanan sedang</w:t>
            </w:r>
          </w:p>
        </w:tc>
        <w:tc>
          <w:tcPr>
            <w:tcW w:w="1382"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PU</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Tingkat penerimaan (legitimasi) </w:t>
            </w:r>
            <w:r w:rsidRPr="00A17C86">
              <w:rPr>
                <w:rFonts w:ascii="Times New Roman" w:eastAsia="Times New Roman" w:hAnsi="Times New Roman" w:cs="Times New Roman"/>
                <w:i/>
                <w:iCs/>
                <w:color w:val="000000"/>
                <w:sz w:val="20"/>
                <w:szCs w:val="20"/>
                <w:lang w:eastAsia="id-ID"/>
              </w:rPr>
              <w:t xml:space="preserve">stakeholder </w:t>
            </w:r>
            <w:r w:rsidRPr="00A17C86">
              <w:rPr>
                <w:rFonts w:ascii="Times New Roman" w:eastAsia="Times New Roman" w:hAnsi="Times New Roman" w:cs="Times New Roman"/>
                <w:color w:val="000000"/>
                <w:sz w:val="20"/>
                <w:szCs w:val="20"/>
                <w:lang w:eastAsia="id-ID"/>
              </w:rPr>
              <w:t>atas dokumen RTRWP/ RTRWK/ Kehutanan baik</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4</w:t>
            </w:r>
          </w:p>
        </w:tc>
      </w:tr>
      <w:tr w:rsidR="00A17C86" w:rsidRPr="00A17C86" w:rsidTr="00590A7C">
        <w:trPr>
          <w:trHeight w:val="144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Tingkat penerimaan (legitimasi) </w:t>
            </w:r>
            <w:r w:rsidRPr="00A17C86">
              <w:rPr>
                <w:rFonts w:ascii="Times New Roman" w:eastAsia="Times New Roman" w:hAnsi="Times New Roman" w:cs="Times New Roman"/>
                <w:i/>
                <w:iCs/>
                <w:color w:val="000000"/>
                <w:sz w:val="20"/>
                <w:szCs w:val="20"/>
                <w:lang w:eastAsia="id-ID"/>
              </w:rPr>
              <w:t xml:space="preserve">stakeholder </w:t>
            </w:r>
            <w:r w:rsidRPr="00A17C86">
              <w:rPr>
                <w:rFonts w:ascii="Times New Roman" w:eastAsia="Times New Roman" w:hAnsi="Times New Roman" w:cs="Times New Roman"/>
                <w:color w:val="000000"/>
                <w:sz w:val="20"/>
                <w:szCs w:val="20"/>
                <w:lang w:eastAsia="id-ID"/>
              </w:rPr>
              <w:t>atas dokumen RTRWP/ RTRWK/ Kehutanan Rendah, karena kurang sosialisasi dan kurang terbuka</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2</w:t>
            </w:r>
          </w:p>
        </w:tc>
      </w:tr>
      <w:tr w:rsidR="00A17C86" w:rsidRPr="00A17C86" w:rsidTr="00590A7C">
        <w:trPr>
          <w:trHeight w:val="148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Tingkat penerimaan (legitimasi) </w:t>
            </w:r>
            <w:r w:rsidRPr="00A17C86">
              <w:rPr>
                <w:rFonts w:ascii="Times New Roman" w:eastAsia="Times New Roman" w:hAnsi="Times New Roman" w:cs="Times New Roman"/>
                <w:i/>
                <w:iCs/>
                <w:color w:val="000000"/>
                <w:sz w:val="20"/>
                <w:szCs w:val="20"/>
                <w:lang w:eastAsia="id-ID"/>
              </w:rPr>
              <w:t xml:space="preserve">stakeholder </w:t>
            </w:r>
            <w:r w:rsidRPr="00A17C86">
              <w:rPr>
                <w:rFonts w:ascii="Times New Roman" w:eastAsia="Times New Roman" w:hAnsi="Times New Roman" w:cs="Times New Roman"/>
                <w:color w:val="000000"/>
                <w:sz w:val="20"/>
                <w:szCs w:val="20"/>
                <w:lang w:eastAsia="id-ID"/>
              </w:rPr>
              <w:t>atas dokumen RTRWP/ RTRWK/ Kehutanan Rendah, karena kurang sosialisasi dan kurang terbuka</w:t>
            </w:r>
          </w:p>
        </w:tc>
        <w:tc>
          <w:tcPr>
            <w:tcW w:w="1382"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2</w:t>
            </w:r>
          </w:p>
        </w:tc>
      </w:tr>
      <w:tr w:rsidR="00A17C86" w:rsidRPr="00A17C86" w:rsidTr="00590A7C">
        <w:trPr>
          <w:trHeight w:val="145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Asosiasi Pengusaha</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Tingkat penerimaan (legitimasi) </w:t>
            </w:r>
            <w:r w:rsidRPr="00A17C86">
              <w:rPr>
                <w:rFonts w:ascii="Times New Roman" w:eastAsia="Times New Roman" w:hAnsi="Times New Roman" w:cs="Times New Roman"/>
                <w:i/>
                <w:iCs/>
                <w:color w:val="000000"/>
                <w:sz w:val="20"/>
                <w:szCs w:val="20"/>
                <w:lang w:eastAsia="id-ID"/>
              </w:rPr>
              <w:t xml:space="preserve">stakeholder </w:t>
            </w:r>
            <w:r w:rsidRPr="00A17C86">
              <w:rPr>
                <w:rFonts w:ascii="Times New Roman" w:eastAsia="Times New Roman" w:hAnsi="Times New Roman" w:cs="Times New Roman"/>
                <w:color w:val="000000"/>
                <w:sz w:val="20"/>
                <w:szCs w:val="20"/>
                <w:lang w:eastAsia="id-ID"/>
              </w:rPr>
              <w:t>atas dokumen RTRWP/ RTRWK/ Kehutanan Rendah, karena kurang sosialisasi dan kurang terbuka</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145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Akademisi</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Tingkat penerimaan (legitimasi) </w:t>
            </w:r>
            <w:r w:rsidRPr="00A17C86">
              <w:rPr>
                <w:rFonts w:ascii="Times New Roman" w:eastAsia="Times New Roman" w:hAnsi="Times New Roman" w:cs="Times New Roman"/>
                <w:i/>
                <w:iCs/>
                <w:color w:val="000000"/>
                <w:sz w:val="20"/>
                <w:szCs w:val="20"/>
                <w:lang w:eastAsia="id-ID"/>
              </w:rPr>
              <w:t xml:space="preserve">stakeholder </w:t>
            </w:r>
            <w:r w:rsidRPr="00A17C86">
              <w:rPr>
                <w:rFonts w:ascii="Times New Roman" w:eastAsia="Times New Roman" w:hAnsi="Times New Roman" w:cs="Times New Roman"/>
                <w:color w:val="000000"/>
                <w:sz w:val="20"/>
                <w:szCs w:val="20"/>
                <w:lang w:eastAsia="id-ID"/>
              </w:rPr>
              <w:t>atas dokumen RTRWP/Kehutanan sedang, sebagian kecil dapat menerima dokumen RTRWP/kehutanan.</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A17C86" w:rsidRPr="00A17C86" w:rsidTr="00590A7C">
        <w:trPr>
          <w:trHeight w:val="114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Wawancara – Sumber informasi</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FIb1</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luas kawasan hutan yang dikukuhkan dan dite-rima oleh para pihak</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Sebagian besar para pihak menerima luas kawasan hutan yang telah dikukuhkan.</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4</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Sebagian kecil para pihak menerima jumlah luas kawasan hutan yang telah dikukuhkan</w:t>
            </w:r>
          </w:p>
        </w:tc>
        <w:tc>
          <w:tcPr>
            <w:tcW w:w="1382"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Sebagian kecil penerimaan para pihak terhadap jumlah luas kawasan hutan yang telah dikukuhkan</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127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UPT BKPH</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Hanya sebagian kecil para pihak menerima kawasan hutan yang telah dikukuhkan seperti: Freefort 149 ha, PLTA Genyem (jalan umum dan jaringan Transmisi) 738 ha</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645"/>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A17C86" w:rsidRPr="00A17C86" w:rsidTr="00590A7C">
        <w:trPr>
          <w:trHeight w:val="117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Wawancara – Sumber informasi</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lastRenderedPageBreak/>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184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FIc1</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Sebagian besar para pihak menerima luas kawasan hutan yang telah dikukuhkan. Kawasan hutan sebagian besar di klaim merupakan hak adat walaupun batasnya tidak jelas</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4</w:t>
            </w:r>
          </w:p>
        </w:tc>
      </w:tr>
      <w:tr w:rsidR="00A17C86" w:rsidRPr="00A17C86" w:rsidTr="00590A7C">
        <w:trPr>
          <w:trHeight w:val="127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tata-ruang kelola masyarakat adat/lokal yang terakomodir dalam tata-ruang propinsi dan/atau kabupaten kurang memadai terakomodir 25%</w:t>
            </w:r>
          </w:p>
        </w:tc>
        <w:tc>
          <w:tcPr>
            <w:tcW w:w="1382"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2</w:t>
            </w:r>
          </w:p>
        </w:tc>
      </w:tr>
      <w:tr w:rsidR="00A17C86" w:rsidRPr="00A17C86" w:rsidTr="00590A7C">
        <w:trPr>
          <w:trHeight w:val="229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UPT BKPH</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tata-ruang kelola masyarakat adat/lokal yang terakomodir dalam rencanat tata-ruang propinsi sudah memadai  lebih dari 75 %. Untuk lahan yang sudah menjadi kampung, kecamatan dan kabupaten telah diakomodir dalam rencana tata ruang propinsi menjadi APL (Areal Penggunaan lain)</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4</w:t>
            </w:r>
          </w:p>
        </w:tc>
      </w:tr>
      <w:tr w:rsidR="00A17C86" w:rsidRPr="00A17C86" w:rsidTr="00590A7C">
        <w:trPr>
          <w:trHeight w:val="127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tata-ruang kelola masyarakat adat/lokal yang terakomodir dalam tata-ruang propinsi dan/atau kabupaten cukup memadai terakomodir 50%</w:t>
            </w:r>
          </w:p>
        </w:tc>
        <w:tc>
          <w:tcPr>
            <w:tcW w:w="1382"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127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Akademisi</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tata-ruang kelola masyarakat adat/lokal yang terakomodir dalam tata-ruang propinsi dan/atau kabupaten kurang memadai terakomodir 25%</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2</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A17C86" w:rsidRPr="00A17C86" w:rsidTr="00590A7C">
        <w:trPr>
          <w:trHeight w:val="111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Wawancara – Sumber informasi</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w:t>
            </w:r>
            <w:r w:rsidRPr="00A17C86">
              <w:rPr>
                <w:rFonts w:ascii="Times New Roman" w:eastAsia="Times New Roman" w:hAnsi="Times New Roman" w:cs="Times New Roman"/>
                <w:b/>
                <w:bCs/>
                <w:color w:val="000000"/>
                <w:sz w:val="20"/>
                <w:szCs w:val="20"/>
                <w:lang w:eastAsia="id-ID"/>
              </w:rPr>
              <w:lastRenderedPageBreak/>
              <w:t xml:space="preserve">Masyarakat Adat/Lokal, LSM terkait, Akademisi)  </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lastRenderedPageBreak/>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1530"/>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A17C86" w:rsidRPr="00A17C86" w:rsidRDefault="00A17C86" w:rsidP="00A17C86">
            <w:pPr>
              <w:spacing w:after="0" w:line="240" w:lineRule="auto"/>
              <w:jc w:val="center"/>
              <w:rPr>
                <w:rFonts w:ascii="Times New Roman" w:eastAsia="Times New Roman" w:hAnsi="Times New Roman" w:cs="Times New Roman"/>
                <w:color w:val="FFFF00"/>
                <w:sz w:val="20"/>
                <w:szCs w:val="20"/>
                <w:lang w:eastAsia="id-ID"/>
              </w:rPr>
            </w:pPr>
            <w:r w:rsidRPr="00A17C86">
              <w:rPr>
                <w:rFonts w:ascii="Times New Roman" w:eastAsia="Times New Roman" w:hAnsi="Times New Roman" w:cs="Times New Roman"/>
                <w:color w:val="FFFF00"/>
                <w:sz w:val="20"/>
                <w:szCs w:val="20"/>
                <w:lang w:eastAsia="id-ID"/>
              </w:rPr>
              <w:t> </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Jumlah konflik penguasaan kawasan yang dapat difasilitasi penyelesaiannya dalam setiap tahun sudah memadai. Yang sering terjadi konflik horizontal antara masyarakat dengan pengusaha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4</w:t>
            </w:r>
          </w:p>
        </w:tc>
      </w:tr>
      <w:tr w:rsidR="00A17C86" w:rsidRPr="00A17C86" w:rsidTr="00590A7C">
        <w:trPr>
          <w:trHeight w:val="102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FFFF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Jumlah konflik penguasaan kawasan yang dapat difasilitasi penyelesaiannya dalam setiap tahun tidak memadai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FFFF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UPT BKPH</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Jumlah konflik penguasaan kawasan yang dapat difasilitasi setiap tahun sudah cukup memadai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102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FFFF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Jumlah konflik penguasaan kawasan yang dapat difasilitasi penyelesaiannya dalam setiap tahun tidak memadai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2</w:t>
            </w:r>
          </w:p>
        </w:tc>
      </w:tr>
      <w:tr w:rsidR="00A17C86" w:rsidRPr="00A17C86" w:rsidTr="00590A7C">
        <w:trPr>
          <w:trHeight w:val="102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FFFF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Akademisi</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jumlah konflik penguasaan kawasan yang dapat difasilitasi penyelesaiannya dalam setiap tahun tidak memadai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2</w:t>
            </w:r>
          </w:p>
        </w:tc>
      </w:tr>
      <w:tr w:rsidR="00A17C86" w:rsidRPr="00A17C86" w:rsidTr="00590A7C">
        <w:trPr>
          <w:trHeight w:val="130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FId1</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Hasil mediasi bisa diterima oleh semua pihak dan dijalankan secara konsisten</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 Hasil mediasi bisa diterima oleh semua pihak dan dijalankan secara konsisten Pembayaran kompensasi seuai dengan tuntutan masyarakat</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2</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Hasil mediasi kurang bisa diterima oleh semua pihak dan dijalankan secara konsisten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127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UPT BKPH</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Hasil mediasi bisa diterima oleh semua pihak dan dijalankan secara konsisten, setiap senyelesaian konflik diselesaikan dengan cara  pembayaran konvensasi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4</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Hasil mediasi dilaksanakan kurang konsisten</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51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Akademisi</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Hasil mediasi dilaksanakan kurang konsisten</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255"/>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Isu dalam PGA REDD+</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2692"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II. Pengaturan Hak  </w:t>
            </w:r>
          </w:p>
        </w:tc>
        <w:tc>
          <w:tcPr>
            <w:tcW w:w="1107"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1797"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p>
        </w:tc>
      </w:tr>
      <w:tr w:rsidR="00A17C86" w:rsidRPr="00A17C86" w:rsidTr="00590A7C">
        <w:trPr>
          <w:trHeight w:val="6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masyarakat dan bisnis di Kementerian/SKPD </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 Kementerian/Dinas Kehutanan (Unit Pemberi Izin)</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FIIa1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811"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Laporan dinas kehutanan dan Konservasi tahun 2010</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Luas hutan yang sudah diadministrasikan; Hutan rakyat 11.000 ha, bisnis 5.202.478 ha</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6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masyarakat dan bisnis di Kementerian/SKPD </w:t>
            </w:r>
            <w:r w:rsidRPr="00A17C86">
              <w:rPr>
                <w:rFonts w:ascii="Times New Roman" w:eastAsia="Times New Roman" w:hAnsi="Times New Roman" w:cs="Times New Roman"/>
                <w:b/>
                <w:bCs/>
                <w:color w:val="000000"/>
                <w:sz w:val="20"/>
                <w:szCs w:val="20"/>
                <w:lang w:eastAsia="id-ID"/>
              </w:rPr>
              <w:br/>
              <w:t xml:space="preserve"> </w:t>
            </w:r>
          </w:p>
        </w:tc>
      </w:tr>
      <w:tr w:rsidR="00A17C86" w:rsidRPr="00A17C86" w:rsidTr="00590A7C">
        <w:trPr>
          <w:trHeight w:val="6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A17C86">
              <w:rPr>
                <w:rFonts w:ascii="Times New Roman" w:eastAsia="Times New Roman" w:hAnsi="Times New Roman" w:cs="Times New Roman"/>
                <w:b/>
                <w:bCs/>
                <w:color w:val="000000"/>
                <w:sz w:val="20"/>
                <w:szCs w:val="20"/>
                <w:lang w:eastAsia="id-ID"/>
              </w:rPr>
              <w:br/>
              <w:t xml:space="preserve">  Kementerian/Dinas Kehutanan (Unit Pemberi Izin)</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FIIb1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811"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Laporan dinas kehutanan dan Konservasi tahun 2010</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Tumpang Tindih antara HPH, HTI dan HGU= 34.138.992,70 ha (26,30%)</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45"/>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c. Jumlah konflik antar sesama penggunaan kawasan hutan </w:t>
            </w:r>
            <w:r w:rsidRPr="00A17C86">
              <w:rPr>
                <w:rFonts w:ascii="Times New Roman" w:eastAsia="Times New Roman" w:hAnsi="Times New Roman" w:cs="Times New Roman"/>
                <w:b/>
                <w:bCs/>
                <w:color w:val="000000"/>
                <w:sz w:val="20"/>
                <w:szCs w:val="20"/>
                <w:lang w:eastAsia="id-ID"/>
              </w:rPr>
              <w:br/>
            </w:r>
            <w:r w:rsidRPr="00A17C86">
              <w:rPr>
                <w:rFonts w:ascii="Times New Roman" w:eastAsia="Times New Roman" w:hAnsi="Times New Roman" w:cs="Times New Roman"/>
                <w:b/>
                <w:bCs/>
                <w:color w:val="000000"/>
                <w:sz w:val="20"/>
                <w:szCs w:val="20"/>
                <w:lang w:eastAsia="id-ID"/>
              </w:rPr>
              <w:lastRenderedPageBreak/>
              <w:t xml:space="preserve"> </w:t>
            </w:r>
          </w:p>
        </w:tc>
      </w:tr>
      <w:tr w:rsidR="00A17C86" w:rsidRPr="00A17C86" w:rsidTr="00590A7C">
        <w:trPr>
          <w:trHeight w:val="645"/>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lastRenderedPageBreak/>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3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FIIc1</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Jumlah konflik antar sesama penggunaan kawasan hutan </w:t>
            </w:r>
          </w:p>
        </w:tc>
        <w:tc>
          <w:tcPr>
            <w:tcW w:w="1811"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Kehutanan </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w:t>
            </w:r>
          </w:p>
        </w:tc>
      </w:tr>
      <w:tr w:rsidR="00A17C86" w:rsidRPr="00A17C86" w:rsidTr="00590A7C">
        <w:trPr>
          <w:trHeight w:val="6435"/>
        </w:trPr>
        <w:tc>
          <w:tcPr>
            <w:tcW w:w="714"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Yayasan FOKER, Laporan Investigasi Konflik SDA 2010</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24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Ada 7 konflik antar penggina kawasan hutan: 1)program MIFEE (Merauke Integrated Food and Energy Estate) seluas 1,2 juta ha di Kab. Marauke</w:t>
            </w:r>
            <w:r w:rsidRPr="00A17C86">
              <w:rPr>
                <w:rFonts w:ascii="Times New Roman" w:eastAsia="Times New Roman" w:hAnsi="Times New Roman" w:cs="Times New Roman"/>
                <w:color w:val="000000"/>
                <w:sz w:val="20"/>
                <w:szCs w:val="20"/>
                <w:lang w:eastAsia="id-ID"/>
              </w:rPr>
              <w:br/>
              <w:t>Ha;2)Penambangan Emas Liar di Degewo, Paniai; 3) Masalah inti-plasma PT PN II Arso, di kab. Keerom; 4) Pemanfaaan kawasan hutan sagu masyarakt seluas 86.000 ha oleh PT. Ever Rise Internasional Investmen Pabrik ethanol di distrik Napan,  Nabire; 5) Perluasan kebun kelapa sawit PT. Sinar Mas di kab. Arso dan Keerom. 6) penebangan hutan ilegal di kampung Mosso, kab. Keerom; 7)Perampasan lahan masyarakat oleh Perkebunan Kelapa Sawit (PT. Rajawali Grup) di Yetti Kriku distrik Waris, kab. Keerom.</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Wawancara - Sumber informasi</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 Pemerintah (Pusat &amp; Daerah), LSM, AMAN</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1020"/>
        </w:trPr>
        <w:tc>
          <w:tcPr>
            <w:tcW w:w="714" w:type="dxa"/>
            <w:vMerge w:val="restart"/>
            <w:tcBorders>
              <w:top w:val="nil"/>
              <w:left w:val="single" w:sz="4" w:space="0" w:color="auto"/>
              <w:bottom w:val="single" w:sz="4" w:space="0" w:color="auto"/>
              <w:right w:val="single" w:sz="4" w:space="0" w:color="auto"/>
            </w:tcBorders>
            <w:shd w:val="clear" w:color="000000" w:fill="FFFFFF"/>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lastRenderedPageBreak/>
              <w:t> </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praktik terbaik (</w:t>
            </w:r>
            <w:r w:rsidRPr="00A17C86">
              <w:rPr>
                <w:rFonts w:ascii="Times New Roman" w:eastAsia="Times New Roman" w:hAnsi="Times New Roman" w:cs="Times New Roman"/>
                <w:i/>
                <w:iCs/>
                <w:color w:val="000000"/>
                <w:sz w:val="20"/>
                <w:szCs w:val="20"/>
                <w:lang w:eastAsia="id-ID"/>
              </w:rPr>
              <w:t>best practices</w:t>
            </w:r>
            <w:r w:rsidRPr="00A17C86">
              <w:rPr>
                <w:rFonts w:ascii="Times New Roman" w:eastAsia="Times New Roman" w:hAnsi="Times New Roman" w:cs="Times New Roman"/>
                <w:color w:val="000000"/>
                <w:sz w:val="20"/>
                <w:szCs w:val="20"/>
                <w:lang w:eastAsia="id-ID"/>
              </w:rPr>
              <w:t>) atas resolusi konflik terkait pengakuan hak masyarakat adat/lokal</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 Tidak ada praktik terbaik (</w:t>
            </w:r>
            <w:r w:rsidRPr="00A17C86">
              <w:rPr>
                <w:rFonts w:ascii="Times New Roman" w:eastAsia="Times New Roman" w:hAnsi="Times New Roman" w:cs="Times New Roman"/>
                <w:i/>
                <w:iCs/>
                <w:color w:val="000000"/>
                <w:sz w:val="20"/>
                <w:szCs w:val="20"/>
                <w:lang w:eastAsia="id-ID"/>
              </w:rPr>
              <w:t>best practices</w:t>
            </w:r>
            <w:r w:rsidRPr="00A17C86">
              <w:rPr>
                <w:rFonts w:ascii="Times New Roman" w:eastAsia="Times New Roman" w:hAnsi="Times New Roman" w:cs="Times New Roman"/>
                <w:color w:val="000000"/>
                <w:sz w:val="20"/>
                <w:szCs w:val="20"/>
                <w:lang w:eastAsia="id-ID"/>
              </w:rPr>
              <w:t xml:space="preserve">) atas resolusi konflik terkait pengakuan hak masyarakat adat/lokal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102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memiliki pengalaman praktek terbaik atas resolusi konflik terkait pengakuan hak masyarakat adat/lokal</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102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praktik terbaik (</w:t>
            </w:r>
            <w:r w:rsidRPr="00A17C86">
              <w:rPr>
                <w:rFonts w:ascii="Times New Roman" w:eastAsia="Times New Roman" w:hAnsi="Times New Roman" w:cs="Times New Roman"/>
                <w:i/>
                <w:iCs/>
                <w:color w:val="000000"/>
                <w:sz w:val="20"/>
                <w:szCs w:val="20"/>
                <w:lang w:eastAsia="id-ID"/>
              </w:rPr>
              <w:t>best practices</w:t>
            </w:r>
            <w:r w:rsidRPr="00A17C86">
              <w:rPr>
                <w:rFonts w:ascii="Times New Roman" w:eastAsia="Times New Roman" w:hAnsi="Times New Roman" w:cs="Times New Roman"/>
                <w:color w:val="000000"/>
                <w:sz w:val="20"/>
                <w:szCs w:val="20"/>
                <w:lang w:eastAsia="id-ID"/>
              </w:rPr>
              <w:t xml:space="preserve">) atas resolusi konflik terkait pengakuan hak masyarakat adat/lokal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FIId1</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Pencegahan kekerasan</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resolusi konflik terkait pengakuan hak masy adat/lokal sudah mencakup pencegahan kekerasan</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25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memiliki pengalaman terbaik</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102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 Tidak ada resolusi konflik terkait pengakuan hak masy adat/lokal sudah mencakup pencegahan kekerasan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FIId2</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Penyelesaian konflik</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resolusi konflik terkait pengakuan hak masy adat/lokal sudah mencakup penyelesaian konflik</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25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memiliki pengalaman terbaik</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102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Tidak ada, resolusi konflik terkait pengakuan hak masy adat/lokal sudah mencakup penyelesaian konflik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FIId3</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Penerimaan para pihak</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resolusi konflik terkait pengakuan hak masy adat/lokal sudah mencakup penerimaan para pihak</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25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memiliki pengalaman terbaik</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102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Tidak ada, resolusi konflik terkait pengakuan hak masy adat/lokal sudah mencakup penerimaan para pihak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FIId4</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Komitmen tetap dijalankan</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dalam resolusi konflik terkait pengakuan hak masyarakat adat/lokal, komitmen yang ada tetap dijalankan</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25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memiliki pengalaman terbaik</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102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Tidak ada, dalam resolusi konflik terkait pengakuan hak masyarakat adat/lokal, komitmen yang ada tetap dijalankan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A17C86" w:rsidRPr="00A17C86" w:rsidTr="00590A7C">
        <w:trPr>
          <w:trHeight w:val="255"/>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 Media cetak</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FIIe1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Jurnalis</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jumlah/frekuensi  dan kualitas pemberitaan terkait pengakuan hak masyarakat adat/lokal meningkat  kurang memadai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FIIe2</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Cakupan berita  mengenai pengakuan pejabat atas hak masyarakat adat</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Jurnalis</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Cakupan berita mengenai pengakuan pejabat atas hak masyarakat adat kurang memadai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FIIe3</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Posisi berita dalam media cetak </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Posisi berita dalam media cetak sudah memadai?</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Jurnalis</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 Posisi berita dalam media cetak sudah memadai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4</w:t>
            </w:r>
          </w:p>
        </w:tc>
      </w:tr>
      <w:tr w:rsidR="00A17C86" w:rsidRPr="00A17C86" w:rsidTr="00590A7C">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FIIe4</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Posisi media dalam pemberitaan </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Posisi media dalam pemberitaan sudah memadai?</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Jurnalis</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Posisi media dalam pemberitaan sudah memadai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4</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255"/>
        </w:trPr>
        <w:tc>
          <w:tcPr>
            <w:tcW w:w="3907" w:type="dxa"/>
            <w:gridSpan w:val="3"/>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Isu dalam PGA REDD+</w:t>
            </w:r>
          </w:p>
        </w:tc>
        <w:tc>
          <w:tcPr>
            <w:tcW w:w="5596" w:type="dxa"/>
            <w:gridSpan w:val="4"/>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Wawancara – Sumber informasi</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Pengusaha, Organisasi Masyarakat Adat, LSM</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lastRenderedPageBreak/>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FIIIa1</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 xml:space="preserve">Jumlah biaya transaksi pengurusan izin pengelolaan hutan </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biaya transaksi pengurusan izin pengelolaan hutan</w:t>
            </w: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Tidadak ada data</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FFFF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Tidadak ada data</w:t>
            </w:r>
          </w:p>
        </w:tc>
        <w:tc>
          <w:tcPr>
            <w:tcW w:w="1382" w:type="dxa"/>
            <w:tcBorders>
              <w:top w:val="nil"/>
              <w:left w:val="nil"/>
              <w:bottom w:val="single" w:sz="4" w:space="0" w:color="auto"/>
              <w:right w:val="single" w:sz="4" w:space="0" w:color="auto"/>
            </w:tcBorders>
            <w:shd w:val="clear" w:color="000000" w:fill="FFFF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r>
      <w:tr w:rsidR="00A17C86" w:rsidRPr="00A17C86" w:rsidTr="00590A7C">
        <w:trPr>
          <w:trHeight w:val="96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Tidadak ada data</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FFFF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Tidadak ada data</w:t>
            </w:r>
          </w:p>
        </w:tc>
        <w:tc>
          <w:tcPr>
            <w:tcW w:w="1382" w:type="dxa"/>
            <w:tcBorders>
              <w:top w:val="nil"/>
              <w:left w:val="nil"/>
              <w:bottom w:val="single" w:sz="4" w:space="0" w:color="auto"/>
              <w:right w:val="single" w:sz="4" w:space="0" w:color="auto"/>
            </w:tcBorders>
            <w:shd w:val="clear" w:color="000000" w:fill="FFFF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69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A17C86">
              <w:rPr>
                <w:rFonts w:ascii="Times New Roman" w:eastAsia="Times New Roman" w:hAnsi="Times New Roman" w:cs="Times New Roman"/>
                <w:b/>
                <w:bCs/>
                <w:color w:val="000000"/>
                <w:sz w:val="20"/>
                <w:szCs w:val="20"/>
                <w:lang w:eastAsia="id-ID"/>
              </w:rPr>
              <w:br/>
              <w:t xml:space="preserve">  pemegang ijin</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Peraturan Prosedur Pelaksanaan Pengurusan Izin</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564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FIIIb1</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 xml:space="preserve">Jumlah tahapan dan bentuk persyaratan setiap tahapan dalam pengurusan izin </w:t>
            </w:r>
          </w:p>
        </w:tc>
        <w:tc>
          <w:tcPr>
            <w:tcW w:w="1811"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Ada 5 tahap dan bentuk persyaratan: 1) pengurusan Surat Izin Penebangan (SIP) syaratnya: a) Bukti kepemilikan hak atas tanah, b) Peta areal hutan hak/rakyat yang berisi letak, luas dan batas-batasnya diketahui oleh camat setempat, dan c) Potensi tegakan hutan hak/rakyat. 2) Legalitas Kayu Rakyat. penerbitan Surat Keterangan Asal Usul (SKAU). 3) Prosedur penebangan pohon yang berasal dari hutan rakyat dilakukan oleh Dinas Kehutanan Kabupaten/Kota. 4) Prosedur penebangan pohon yang berasal dari hutan rakyat disampaikan kepada disampaikan kepada Kepala Dinas Kabupaten/Kota dengan tembusan Kepala Dinas Provinsi. 5) Prosedur pengangkutan hasil hutan yang berasal </w:t>
            </w:r>
            <w:r w:rsidRPr="00A17C86">
              <w:rPr>
                <w:rFonts w:ascii="Times New Roman" w:eastAsia="Times New Roman" w:hAnsi="Times New Roman" w:cs="Times New Roman"/>
                <w:color w:val="000000"/>
                <w:sz w:val="20"/>
                <w:szCs w:val="20"/>
                <w:lang w:eastAsia="id-ID"/>
              </w:rPr>
              <w:lastRenderedPageBreak/>
              <w:t xml:space="preserve">dari hutan rakyat. </w:t>
            </w:r>
          </w:p>
        </w:tc>
        <w:tc>
          <w:tcPr>
            <w:tcW w:w="1382"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lastRenderedPageBreak/>
              <w:t>3</w:t>
            </w:r>
          </w:p>
        </w:tc>
      </w:tr>
      <w:tr w:rsidR="00A17C86" w:rsidRPr="00A17C86" w:rsidTr="00590A7C">
        <w:trPr>
          <w:trHeight w:val="945"/>
        </w:trPr>
        <w:tc>
          <w:tcPr>
            <w:tcW w:w="714"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Dinas Pertanian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Tidadak ada data</w:t>
            </w:r>
          </w:p>
        </w:tc>
        <w:tc>
          <w:tcPr>
            <w:tcW w:w="1382"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r>
      <w:tr w:rsidR="00A17C86" w:rsidRPr="00A17C86" w:rsidTr="00590A7C">
        <w:trPr>
          <w:trHeight w:val="510"/>
        </w:trPr>
        <w:tc>
          <w:tcPr>
            <w:tcW w:w="714"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BPN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Tidadak ada data</w:t>
            </w:r>
          </w:p>
        </w:tc>
        <w:tc>
          <w:tcPr>
            <w:tcW w:w="1382"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255"/>
        </w:trPr>
        <w:tc>
          <w:tcPr>
            <w:tcW w:w="3907" w:type="dxa"/>
            <w:gridSpan w:val="3"/>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Isu dalam PGA REDD+</w:t>
            </w:r>
          </w:p>
        </w:tc>
        <w:tc>
          <w:tcPr>
            <w:tcW w:w="5596" w:type="dxa"/>
            <w:gridSpan w:val="4"/>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63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A17C86">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24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FIVa1</w:t>
            </w:r>
          </w:p>
        </w:tc>
        <w:tc>
          <w:tcPr>
            <w:tcW w:w="1382"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811" w:type="dxa"/>
            <w:vMerge w:val="restart"/>
            <w:tcBorders>
              <w:top w:val="nil"/>
              <w:left w:val="single" w:sz="4" w:space="0" w:color="auto"/>
              <w:bottom w:val="single" w:sz="4" w:space="0" w:color="000000"/>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Laporan Dinas Kehutanan Tahun 2009</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kawasan hutan yang dialokasikan sangat jauh (2,5%) di bawah alokasi ideal (10 persen dari total luas kawasan hutan) Pencadangan Areal HTR 29.350 ha 4 kelompok di Nabire dan Biak Numpor</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255"/>
        </w:trPr>
        <w:tc>
          <w:tcPr>
            <w:tcW w:w="714"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Dinas Pertanian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Tidadak ada data</w:t>
            </w:r>
          </w:p>
        </w:tc>
        <w:tc>
          <w:tcPr>
            <w:tcW w:w="1382"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r>
      <w:tr w:rsidR="00A17C86" w:rsidRPr="00A17C86" w:rsidTr="00590A7C">
        <w:trPr>
          <w:trHeight w:val="255"/>
        </w:trPr>
        <w:tc>
          <w:tcPr>
            <w:tcW w:w="714"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BPN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Tidadak ada data</w:t>
            </w:r>
          </w:p>
        </w:tc>
        <w:tc>
          <w:tcPr>
            <w:tcW w:w="1382"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lastRenderedPageBreak/>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FIVb1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Jumlah perusahan di sektor kehutanan yang memiliki kode  etik perusahaan menjalankan tata-kelola yang baik di lokasi assesmen </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jumlah perusahan di sektor kehutanan yang memiliki kode etik perusahaan menjalankan tata-kelola yang baik di lokasi assesmen  sudah memadai?</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Asosiasi Pengusaha Hutan Indonesian, Desember 2011</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FFFFFF"/>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Ada 3 perusahaan yaitu; PT Wapoga Mutiara Timber Unit II,  PT Wukirasari dan PT Mamberamo Alas Mandiri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4</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c. Persentase hutan yang memiliki pengelola (KPH)</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Kementerian Kehutanan &amp; Dinas Kehutanan (Provinsi &amp; Kabupaten)</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FIVc1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Persentase hutan yang memiliki pengelola (KPH)</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Laporan Dinas Kehutanan Tahun 2009</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Persentase hutan yang memiliki pengelola52,01 % (18.180.201ha)</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333333"/>
                <w:sz w:val="20"/>
                <w:szCs w:val="20"/>
                <w:lang w:eastAsia="id-ID"/>
              </w:rPr>
            </w:pPr>
            <w:r w:rsidRPr="00A17C86">
              <w:rPr>
                <w:rFonts w:ascii="Times New Roman" w:eastAsia="Times New Roman" w:hAnsi="Times New Roman" w:cs="Times New Roman"/>
                <w:color w:val="333333"/>
                <w:sz w:val="20"/>
                <w:szCs w:val="20"/>
                <w:lang w:eastAsia="id-ID"/>
              </w:rPr>
              <w:t xml:space="preserve"> </w:t>
            </w: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FIVd1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 xml:space="preserve">Jumlah pengelolaan hutan berbasis ecological services </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000000" w:fill="FFFFFF"/>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Tidaka ada data</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255"/>
        </w:trPr>
        <w:tc>
          <w:tcPr>
            <w:tcW w:w="3907" w:type="dxa"/>
            <w:gridSpan w:val="3"/>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Isu dalam PGA REDD+</w:t>
            </w:r>
          </w:p>
        </w:tc>
        <w:tc>
          <w:tcPr>
            <w:tcW w:w="5596" w:type="dxa"/>
            <w:gridSpan w:val="4"/>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Laporan Inspektorat, BPKP &amp; BPK, Bawasda</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363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lastRenderedPageBreak/>
              <w:t>FVa1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 xml:space="preserve">Jumlah pelanggaran penggunaan anggaran di tingkat provinsi dan kab/ kota  </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BPK, BPKP, BAWASDA, INSPEKTORAT</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Laporan Hasil Pemeriksaan Atas Pengelolaan dan Pertanggung Jawaban Dana Otonomi Khusus TA 2002-2010 di Propinsi Papua dan Papua Barat</w:t>
            </w:r>
          </w:p>
        </w:tc>
        <w:tc>
          <w:tcPr>
            <w:tcW w:w="1107" w:type="dxa"/>
            <w:tcBorders>
              <w:top w:val="nil"/>
              <w:left w:val="nil"/>
              <w:bottom w:val="single" w:sz="4" w:space="0" w:color="auto"/>
              <w:right w:val="single" w:sz="4" w:space="0" w:color="auto"/>
            </w:tcBorders>
            <w:shd w:val="clear" w:color="000000" w:fill="FFFF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pelanggara 314 temuan senilai Rp891.575.897.656, jumlah rekomendasi 595 senilai Rp489.306.335.106 ditindaklanjuti sesuai rekomendasi 188 senilai Rp24.011.443.863 dalam proses tindak lanjut 281 rekomendasi senilai Rp366.550.185.575 belum ditindaklanjuti sebanyak 126 rekomendasi senilai Rp98.744.705.667</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4</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Kementrian &amp; Dinas Kehutanan</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2295"/>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FVb1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Jumlah sanksi administratif serius (pencabutan izin, dan denda, yang telah dijatuhkan)</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ada sanksi yang diberikan oleh pihak Dinas Kehutanan meskipun tunggakan tersebut telah lama dan jumlahnya besar.</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Kepolisian (Nasional &amp; Daerah)</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FVc1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 xml:space="preserve">Jumlah kasus pidana kehutanan yang diajukan/ diproses oleh polisi </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Polda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000000" w:fill="FFFFFF"/>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kasus pidana yang diajukan polisi 6128 kasus</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585"/>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A17C86">
              <w:rPr>
                <w:rFonts w:ascii="Times New Roman" w:eastAsia="Times New Roman" w:hAnsi="Times New Roman" w:cs="Times New Roman"/>
                <w:b/>
                <w:bCs/>
                <w:color w:val="000000"/>
                <w:sz w:val="20"/>
                <w:szCs w:val="20"/>
                <w:lang w:eastAsia="id-ID"/>
              </w:rPr>
              <w:br/>
              <w:t xml:space="preserve">  diputuskan oleh MA</w:t>
            </w:r>
            <w:r w:rsidRPr="00A17C86">
              <w:rPr>
                <w:rFonts w:ascii="Times New Roman" w:eastAsia="Times New Roman" w:hAnsi="Times New Roman" w:cs="Times New Roman"/>
                <w:b/>
                <w:bCs/>
                <w:color w:val="000000"/>
                <w:sz w:val="20"/>
                <w:szCs w:val="20"/>
                <w:lang w:eastAsia="id-ID"/>
              </w:rPr>
              <w:br/>
              <w:t xml:space="preserve"> </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Kepolisian (Nasional &amp; Daerah)</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lastRenderedPageBreak/>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2535"/>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FVd1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Polda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000000" w:fill="FFFFFF"/>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Tidaka ada data</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e. Index integritas KPK sektor kehutanan</w:t>
            </w:r>
            <w:r w:rsidRPr="00A17C86">
              <w:rPr>
                <w:rFonts w:ascii="Times New Roman" w:eastAsia="Times New Roman" w:hAnsi="Times New Roman" w:cs="Times New Roman"/>
                <w:b/>
                <w:bCs/>
                <w:color w:val="000000"/>
                <w:sz w:val="20"/>
                <w:szCs w:val="20"/>
                <w:lang w:eastAsia="id-ID"/>
              </w:rPr>
              <w:br/>
              <w:t xml:space="preserve"> </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Hasil Survai KPK tentang Integritas</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590A7C" w:rsidRPr="00A17C86" w:rsidTr="00590A7C">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FVe1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Index integritas KPK sektor kehutanan</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000000" w:fill="F2DDDC"/>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KPK &amp; TII</w:t>
            </w:r>
          </w:p>
        </w:tc>
        <w:tc>
          <w:tcPr>
            <w:tcW w:w="1596" w:type="dxa"/>
            <w:tcBorders>
              <w:top w:val="nil"/>
              <w:left w:val="nil"/>
              <w:bottom w:val="single" w:sz="4" w:space="0" w:color="auto"/>
              <w:right w:val="single" w:sz="4" w:space="0" w:color="auto"/>
            </w:tcBorders>
            <w:shd w:val="clear" w:color="000000" w:fill="F2DDDC"/>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Tidak ada data</w:t>
            </w:r>
          </w:p>
        </w:tc>
        <w:tc>
          <w:tcPr>
            <w:tcW w:w="1107" w:type="dxa"/>
            <w:tcBorders>
              <w:top w:val="nil"/>
              <w:left w:val="nil"/>
              <w:bottom w:val="single" w:sz="4" w:space="0" w:color="auto"/>
              <w:right w:val="single" w:sz="4" w:space="0" w:color="auto"/>
            </w:tcBorders>
            <w:shd w:val="clear" w:color="000000" w:fill="F2DDDC"/>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797" w:type="dxa"/>
            <w:tcBorders>
              <w:top w:val="nil"/>
              <w:left w:val="nil"/>
              <w:bottom w:val="single" w:sz="4" w:space="0" w:color="auto"/>
              <w:right w:val="single" w:sz="4" w:space="0" w:color="auto"/>
            </w:tcBorders>
            <w:shd w:val="clear" w:color="000000" w:fill="F2DDDC"/>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000000" w:fill="F2DDDC"/>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f. Index persepsi korupsi di lokasi assesmen (TII)</w:t>
            </w:r>
            <w:r w:rsidRPr="00A17C86">
              <w:rPr>
                <w:rFonts w:ascii="Times New Roman" w:eastAsia="Times New Roman" w:hAnsi="Times New Roman" w:cs="Times New Roman"/>
                <w:b/>
                <w:bCs/>
                <w:color w:val="000000"/>
                <w:sz w:val="20"/>
                <w:szCs w:val="20"/>
                <w:lang w:eastAsia="id-ID"/>
              </w:rPr>
              <w:br/>
            </w:r>
            <w:r w:rsidRPr="00A17C86">
              <w:rPr>
                <w:rFonts w:ascii="Times New Roman" w:eastAsia="Times New Roman" w:hAnsi="Times New Roman" w:cs="Times New Roman"/>
                <w:b/>
                <w:bCs/>
                <w:color w:val="000000"/>
                <w:sz w:val="20"/>
                <w:szCs w:val="20"/>
                <w:lang w:eastAsia="id-ID"/>
              </w:rPr>
              <w:br/>
            </w:r>
            <w:r w:rsidRPr="00A17C86">
              <w:rPr>
                <w:rFonts w:ascii="Times New Roman" w:eastAsia="Times New Roman" w:hAnsi="Times New Roman" w:cs="Times New Roman"/>
                <w:b/>
                <w:bCs/>
                <w:color w:val="000000"/>
                <w:sz w:val="20"/>
                <w:szCs w:val="20"/>
                <w:lang w:eastAsia="id-ID"/>
              </w:rPr>
              <w:br/>
              <w:t xml:space="preserve"> </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Hasil Survai Persepsi Transparansi Internasional Indonesia (TII)</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590A7C" w:rsidRPr="00A17C86" w:rsidTr="00590A7C">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FVf1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 xml:space="preserve">Index persepsi korupsi di lokasi assesmen (TII) </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000000" w:fill="F2DDDC"/>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KPK &amp; TII</w:t>
            </w:r>
          </w:p>
        </w:tc>
        <w:tc>
          <w:tcPr>
            <w:tcW w:w="1596" w:type="dxa"/>
            <w:tcBorders>
              <w:top w:val="nil"/>
              <w:left w:val="nil"/>
              <w:bottom w:val="single" w:sz="4" w:space="0" w:color="auto"/>
              <w:right w:val="single" w:sz="4" w:space="0" w:color="auto"/>
            </w:tcBorders>
            <w:shd w:val="clear" w:color="000000" w:fill="F2DDDC"/>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Tidak ada data</w:t>
            </w:r>
          </w:p>
        </w:tc>
        <w:tc>
          <w:tcPr>
            <w:tcW w:w="1107" w:type="dxa"/>
            <w:tcBorders>
              <w:top w:val="nil"/>
              <w:left w:val="nil"/>
              <w:bottom w:val="single" w:sz="4" w:space="0" w:color="auto"/>
              <w:right w:val="single" w:sz="4" w:space="0" w:color="auto"/>
            </w:tcBorders>
            <w:shd w:val="clear" w:color="000000" w:fill="F2DDDC"/>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                             -   </w:t>
            </w:r>
          </w:p>
        </w:tc>
        <w:tc>
          <w:tcPr>
            <w:tcW w:w="1797" w:type="dxa"/>
            <w:tcBorders>
              <w:top w:val="nil"/>
              <w:left w:val="nil"/>
              <w:bottom w:val="single" w:sz="4" w:space="0" w:color="auto"/>
              <w:right w:val="single" w:sz="4" w:space="0" w:color="auto"/>
            </w:tcBorders>
            <w:shd w:val="clear" w:color="000000" w:fill="F2DDDC"/>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000000" w:fill="F2DDDC"/>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                             -   </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615"/>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A17C86">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A17C86">
              <w:rPr>
                <w:rFonts w:ascii="Times New Roman" w:eastAsia="Times New Roman" w:hAnsi="Times New Roman" w:cs="Times New Roman"/>
                <w:b/>
                <w:bCs/>
                <w:color w:val="000000"/>
                <w:sz w:val="20"/>
                <w:szCs w:val="20"/>
                <w:lang w:eastAsia="id-ID"/>
              </w:rPr>
              <w:br/>
            </w:r>
            <w:r w:rsidRPr="00A17C86">
              <w:rPr>
                <w:rFonts w:ascii="Times New Roman" w:eastAsia="Times New Roman" w:hAnsi="Times New Roman" w:cs="Times New Roman"/>
                <w:b/>
                <w:bCs/>
                <w:color w:val="000000"/>
                <w:sz w:val="20"/>
                <w:szCs w:val="20"/>
                <w:lang w:eastAsia="id-ID"/>
              </w:rPr>
              <w:br/>
            </w:r>
            <w:r w:rsidRPr="00A17C86">
              <w:rPr>
                <w:rFonts w:ascii="Times New Roman" w:eastAsia="Times New Roman" w:hAnsi="Times New Roman" w:cs="Times New Roman"/>
                <w:b/>
                <w:bCs/>
                <w:color w:val="000000"/>
                <w:sz w:val="20"/>
                <w:szCs w:val="20"/>
                <w:lang w:eastAsia="id-ID"/>
              </w:rPr>
              <w:br/>
            </w:r>
            <w:r w:rsidRPr="00A17C86">
              <w:rPr>
                <w:rFonts w:ascii="Times New Roman" w:eastAsia="Times New Roman" w:hAnsi="Times New Roman" w:cs="Times New Roman"/>
                <w:b/>
                <w:bCs/>
                <w:color w:val="000000"/>
                <w:sz w:val="20"/>
                <w:szCs w:val="20"/>
                <w:lang w:eastAsia="id-ID"/>
              </w:rPr>
              <w:br/>
              <w:t xml:space="preserve"> </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Laporan BPK</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lastRenderedPageBreak/>
              <w:t>FVg1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BPK, BPKP, BAWASDA, INSPEKTORAT</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Hasil Pemeriksaan Atas Penerimaan Negara Bukan Pajak (PNBP) Berupa Provisi Sumberdaya Hutan (PSDH) dan Dana Reboisasi (DR) Tahun 2004-2005</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Nilai kerugian akibat beberapa pemegang IUPHHK/HPH dan IPK menunggak PSDH sebesar Rp18.871.443.331 dan Dana Reboisasi Rp1.134.915.423,88 dan US$5,784,025.91 </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h. Jumlah pengaduan masyarakat tentang kinerja pengelolaan hutan</w:t>
            </w:r>
            <w:r w:rsidRPr="00A17C86">
              <w:rPr>
                <w:rFonts w:ascii="Times New Roman" w:eastAsia="Times New Roman" w:hAnsi="Times New Roman" w:cs="Times New Roman"/>
                <w:b/>
                <w:bCs/>
                <w:color w:val="000000"/>
                <w:sz w:val="20"/>
                <w:szCs w:val="20"/>
                <w:lang w:eastAsia="id-ID"/>
              </w:rPr>
              <w:br/>
            </w:r>
            <w:r w:rsidRPr="00A17C86">
              <w:rPr>
                <w:rFonts w:ascii="Times New Roman" w:eastAsia="Times New Roman" w:hAnsi="Times New Roman" w:cs="Times New Roman"/>
                <w:b/>
                <w:bCs/>
                <w:color w:val="000000"/>
                <w:sz w:val="20"/>
                <w:szCs w:val="20"/>
                <w:lang w:eastAsia="id-ID"/>
              </w:rPr>
              <w:br/>
            </w:r>
            <w:r w:rsidRPr="00A17C86">
              <w:rPr>
                <w:rFonts w:ascii="Times New Roman" w:eastAsia="Times New Roman" w:hAnsi="Times New Roman" w:cs="Times New Roman"/>
                <w:b/>
                <w:bCs/>
                <w:color w:val="000000"/>
                <w:sz w:val="20"/>
                <w:szCs w:val="20"/>
                <w:lang w:eastAsia="id-ID"/>
              </w:rPr>
              <w:br/>
            </w:r>
            <w:r w:rsidRPr="00A17C86">
              <w:rPr>
                <w:rFonts w:ascii="Times New Roman" w:eastAsia="Times New Roman" w:hAnsi="Times New Roman" w:cs="Times New Roman"/>
                <w:b/>
                <w:bCs/>
                <w:color w:val="000000"/>
                <w:sz w:val="20"/>
                <w:szCs w:val="20"/>
                <w:lang w:eastAsia="id-ID"/>
              </w:rPr>
              <w:br/>
              <w:t xml:space="preserve"> </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Kementerian &amp; Dinas Kehutanan</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FVh1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 xml:space="preserve">Jumlah pengaduan masyarakat tentang kinerja pengelolaan hutan </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dokument</w:t>
            </w:r>
          </w:p>
        </w:tc>
        <w:tc>
          <w:tcPr>
            <w:tcW w:w="1107" w:type="dxa"/>
            <w:tcBorders>
              <w:top w:val="nil"/>
              <w:left w:val="nil"/>
              <w:bottom w:val="single" w:sz="4" w:space="0" w:color="auto"/>
              <w:right w:val="single" w:sz="4" w:space="0" w:color="auto"/>
            </w:tcBorders>
            <w:shd w:val="clear" w:color="000000" w:fill="FFFFFF"/>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Tidaka ada data</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sz w:val="20"/>
                <w:szCs w:val="20"/>
                <w:lang w:eastAsia="id-ID"/>
              </w:rPr>
            </w:pPr>
          </w:p>
        </w:tc>
        <w:tc>
          <w:tcPr>
            <w:tcW w:w="1382"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255"/>
        </w:trPr>
        <w:tc>
          <w:tcPr>
            <w:tcW w:w="3907" w:type="dxa"/>
            <w:gridSpan w:val="3"/>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Isu dalam PGA REDD+</w:t>
            </w:r>
          </w:p>
        </w:tc>
        <w:tc>
          <w:tcPr>
            <w:tcW w:w="5596" w:type="dxa"/>
            <w:gridSpan w:val="4"/>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informasi</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FVIa1</w:t>
            </w:r>
          </w:p>
        </w:tc>
        <w:tc>
          <w:tcPr>
            <w:tcW w:w="1382"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Dinas Kehutanan 2003</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Jumlah Kopermas 441 unit, yang bergerak dibidang kehutanan 156 unit</w:t>
            </w:r>
          </w:p>
        </w:tc>
        <w:tc>
          <w:tcPr>
            <w:tcW w:w="1382"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r>
      <w:tr w:rsidR="00A17C86" w:rsidRPr="00A17C86" w:rsidTr="00590A7C">
        <w:trPr>
          <w:trHeight w:val="168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000000" w:fill="F2DDDC"/>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Satgas REDD+</w:t>
            </w:r>
          </w:p>
        </w:tc>
        <w:tc>
          <w:tcPr>
            <w:tcW w:w="1596" w:type="dxa"/>
            <w:tcBorders>
              <w:top w:val="nil"/>
              <w:left w:val="nil"/>
              <w:bottom w:val="single" w:sz="4" w:space="0" w:color="auto"/>
              <w:right w:val="single" w:sz="4" w:space="0" w:color="auto"/>
            </w:tcBorders>
            <w:shd w:val="clear" w:color="000000" w:fill="F2DDDC"/>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Tidak ada data</w:t>
            </w:r>
          </w:p>
        </w:tc>
        <w:tc>
          <w:tcPr>
            <w:tcW w:w="1107" w:type="dxa"/>
            <w:tcBorders>
              <w:top w:val="nil"/>
              <w:left w:val="nil"/>
              <w:bottom w:val="single" w:sz="4" w:space="0" w:color="auto"/>
              <w:right w:val="single" w:sz="4" w:space="0" w:color="auto"/>
            </w:tcBorders>
            <w:shd w:val="clear" w:color="000000" w:fill="F2DDDC"/>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Tidak ada data</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b. Tingkat penerimaan Strategi REDD+ oleh para aktor</w:t>
            </w:r>
            <w:r w:rsidRPr="00A17C86">
              <w:rPr>
                <w:rFonts w:ascii="Times New Roman" w:eastAsia="Times New Roman" w:hAnsi="Times New Roman" w:cs="Times New Roman"/>
                <w:b/>
                <w:bCs/>
                <w:color w:val="000000"/>
                <w:sz w:val="20"/>
                <w:szCs w:val="20"/>
                <w:lang w:eastAsia="id-ID"/>
              </w:rPr>
              <w:br/>
            </w:r>
          </w:p>
        </w:tc>
      </w:tr>
      <w:tr w:rsidR="00A17C86" w:rsidRPr="00A17C86" w:rsidTr="00590A7C">
        <w:trPr>
          <w:trHeight w:val="66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informasi</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lastRenderedPageBreak/>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FVIb1</w:t>
            </w:r>
          </w:p>
        </w:tc>
        <w:tc>
          <w:tcPr>
            <w:tcW w:w="1382" w:type="dxa"/>
            <w:vMerge w:val="restart"/>
            <w:tcBorders>
              <w:top w:val="nil"/>
              <w:left w:val="single" w:sz="4" w:space="0" w:color="auto"/>
              <w:bottom w:val="single" w:sz="4" w:space="0" w:color="000000"/>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Bagaimana penerimaan Strate-gi REDD+ oleh para aktor?</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nil"/>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 Para pihak  cukup  menerima REDD+</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Bappeda</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Strategi REDD+ oleh para aktor cukup Diterima, potensi REDD di Papua sangat besar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Strategi REDD+ oleh para aktor cukup Diterima, potensi REDD di Papua sangat besar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2</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Strategi REDD+ oleh para aktor cukup Diterima, potensi REDD di Papua sangat besar  </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2</w:t>
            </w:r>
          </w:p>
        </w:tc>
      </w:tr>
      <w:tr w:rsidR="00A17C86" w:rsidRPr="00A17C86" w:rsidTr="00590A7C">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FVIb2</w:t>
            </w:r>
          </w:p>
        </w:tc>
        <w:tc>
          <w:tcPr>
            <w:tcW w:w="1382" w:type="dxa"/>
            <w:vMerge w:val="restart"/>
            <w:tcBorders>
              <w:top w:val="nil"/>
              <w:left w:val="single" w:sz="4" w:space="0" w:color="auto"/>
              <w:bottom w:val="single" w:sz="4" w:space="0" w:color="000000"/>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Kelembagaan REDD+ sudah memadai?</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ada kelembagaan REDD+, kerangka pengamanan tidak memadai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94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Bappeda</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ada kelembagaan REDD+, kerangka pengamanan tidak memadai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ada kelembagaan REDD+, kerangka pengamanan tidak memadai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ada kelembagaan REDD+, kerangka pengamanan tidak memadai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FVIb3</w:t>
            </w:r>
          </w:p>
        </w:tc>
        <w:tc>
          <w:tcPr>
            <w:tcW w:w="1382" w:type="dxa"/>
            <w:vMerge w:val="restart"/>
            <w:tcBorders>
              <w:top w:val="nil"/>
              <w:left w:val="single" w:sz="4" w:space="0" w:color="auto"/>
              <w:bottom w:val="single" w:sz="4" w:space="0" w:color="000000"/>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Kerangka Pengaman sudah memadai?</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ada REDD+</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51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Bappeda</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ada REDD+, Kerangka Pengaman tidak memadai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51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ada REDD+, Kerangka Pengaman tidak memadai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ada REDD+, Kerangka Pengaman tidak memadai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FVIb4</w:t>
            </w:r>
          </w:p>
        </w:tc>
        <w:tc>
          <w:tcPr>
            <w:tcW w:w="1382" w:type="dxa"/>
            <w:vMerge w:val="restart"/>
            <w:tcBorders>
              <w:top w:val="nil"/>
              <w:left w:val="single" w:sz="4" w:space="0" w:color="auto"/>
              <w:bottom w:val="single" w:sz="4" w:space="0" w:color="000000"/>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811" w:type="dxa"/>
            <w:vMerge w:val="restart"/>
            <w:tcBorders>
              <w:top w:val="nil"/>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Apakah (mekanisme) MRV sudah memadai?</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ada REDD+</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51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Bappeda</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ada REDD+, mekanisme MRV tidak memadai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510"/>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LSM</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Belum ada REDD+, </w:t>
            </w:r>
            <w:r w:rsidRPr="00A17C86">
              <w:rPr>
                <w:rFonts w:ascii="Times New Roman" w:eastAsia="Times New Roman" w:hAnsi="Times New Roman" w:cs="Times New Roman"/>
                <w:color w:val="000000"/>
                <w:sz w:val="20"/>
                <w:szCs w:val="20"/>
                <w:lang w:eastAsia="id-ID"/>
              </w:rPr>
              <w:lastRenderedPageBreak/>
              <w:t>mekanisme MRV tidak memadai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lastRenderedPageBreak/>
              <w:t>1</w:t>
            </w:r>
          </w:p>
        </w:tc>
      </w:tr>
      <w:tr w:rsidR="00A17C86" w:rsidRPr="00A17C86" w:rsidTr="00590A7C">
        <w:trPr>
          <w:trHeight w:val="765"/>
        </w:trPr>
        <w:tc>
          <w:tcPr>
            <w:tcW w:w="714"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vMerge/>
            <w:tcBorders>
              <w:top w:val="nil"/>
              <w:left w:val="single" w:sz="4" w:space="0" w:color="auto"/>
              <w:bottom w:val="single" w:sz="4" w:space="0" w:color="000000"/>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811" w:type="dxa"/>
            <w:vMerge/>
            <w:tcBorders>
              <w:top w:val="nil"/>
              <w:left w:val="single" w:sz="4" w:space="0" w:color="auto"/>
              <w:bottom w:val="single" w:sz="4" w:space="0" w:color="auto"/>
              <w:right w:val="single" w:sz="4" w:space="0" w:color="auto"/>
            </w:tcBorders>
            <w:vAlign w:val="center"/>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Organisasi Masyarakat Adat Lokal</w:t>
            </w:r>
          </w:p>
        </w:tc>
        <w:tc>
          <w:tcPr>
            <w:tcW w:w="1596"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Tidak ada dokumen</w:t>
            </w:r>
          </w:p>
        </w:tc>
        <w:tc>
          <w:tcPr>
            <w:tcW w:w="110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Belum ada REDD+, mekanisme MRV tidak memadai</w:t>
            </w:r>
          </w:p>
        </w:tc>
        <w:tc>
          <w:tcPr>
            <w:tcW w:w="1382" w:type="dxa"/>
            <w:tcBorders>
              <w:top w:val="nil"/>
              <w:left w:val="nil"/>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c. Tingkat deforestasi di lokasi assesmen</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informasi</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Kementerian &amp; Dinas Kehutanan</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FVIc1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Tingkat deforestasi di lokasi assesmen </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Laporan Dinas Kehutanan 2010</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Tingkat deforestasi perode 2000-2009 seluas 628.898.44 ha (1,81%)</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d. Tingkat degradasi hutan di lokasi assesmen</w:t>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informasi</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Kementerian &amp; Dinas Kehutanan</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FVId1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Tingkat degradasi hutan di lokasi assesmen </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Laporan Dinas Kehutanan 2010</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Tingkat Degradasi hutan : Hutan Lindung 33,52 Juta Ha (28 %); Hutan Konservasi 20,50 Juta Ha (17 %); Hutan Produksi 58,26 Juta Ha (48 %); Hutan Konversi 8,07 Juta Ha (7 %)</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3</w:t>
            </w:r>
          </w:p>
        </w:tc>
      </w:tr>
      <w:tr w:rsidR="00A17C86" w:rsidRPr="00A17C86" w:rsidTr="00590A7C">
        <w:trPr>
          <w:trHeight w:val="255"/>
        </w:trPr>
        <w:tc>
          <w:tcPr>
            <w:tcW w:w="714"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096"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596"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107"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c>
          <w:tcPr>
            <w:tcW w:w="1797"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p>
        </w:tc>
      </w:tr>
      <w:tr w:rsidR="00A17C86" w:rsidRPr="00A17C86" w:rsidTr="00590A7C">
        <w:trPr>
          <w:trHeight w:val="6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Indikator</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p>
        </w:tc>
        <w:tc>
          <w:tcPr>
            <w:tcW w:w="6978" w:type="dxa"/>
            <w:gridSpan w:val="5"/>
            <w:tcBorders>
              <w:top w:val="nil"/>
              <w:left w:val="nil"/>
              <w:bottom w:val="nil"/>
              <w:right w:val="nil"/>
            </w:tcBorders>
            <w:shd w:val="clear" w:color="auto" w:fill="auto"/>
            <w:hideMark/>
          </w:tcPr>
          <w:p w:rsidR="00A17C86" w:rsidRPr="00A17C86" w:rsidRDefault="00A17C86" w:rsidP="00A17C86">
            <w:pPr>
              <w:spacing w:after="24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A17C86">
              <w:rPr>
                <w:rFonts w:ascii="Times New Roman" w:eastAsia="Times New Roman" w:hAnsi="Times New Roman" w:cs="Times New Roman"/>
                <w:b/>
                <w:bCs/>
                <w:color w:val="000000"/>
                <w:sz w:val="20"/>
                <w:szCs w:val="20"/>
                <w:lang w:eastAsia="id-ID"/>
              </w:rPr>
              <w:br/>
              <w:t xml:space="preserve">  REDD+ (demonstration ativities)</w:t>
            </w:r>
            <w:r w:rsidRPr="00A17C86">
              <w:rPr>
                <w:rFonts w:ascii="Times New Roman" w:eastAsia="Times New Roman" w:hAnsi="Times New Roman" w:cs="Times New Roman"/>
                <w:b/>
                <w:bCs/>
                <w:color w:val="000000"/>
                <w:sz w:val="20"/>
                <w:szCs w:val="20"/>
                <w:lang w:eastAsia="id-ID"/>
              </w:rPr>
              <w:br/>
            </w:r>
          </w:p>
        </w:tc>
      </w:tr>
      <w:tr w:rsidR="00A17C86" w:rsidRPr="00A17C86" w:rsidTr="00590A7C">
        <w:trPr>
          <w:trHeight w:val="300"/>
        </w:trPr>
        <w:tc>
          <w:tcPr>
            <w:tcW w:w="2096" w:type="dxa"/>
            <w:gridSpan w:val="2"/>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informasi</w:t>
            </w:r>
          </w:p>
        </w:tc>
        <w:tc>
          <w:tcPr>
            <w:tcW w:w="1811" w:type="dxa"/>
            <w:tcBorders>
              <w:top w:val="nil"/>
              <w:left w:val="nil"/>
              <w:bottom w:val="nil"/>
              <w:right w:val="nil"/>
            </w:tcBorders>
            <w:shd w:val="clear" w:color="auto" w:fill="auto"/>
            <w:noWrap/>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p>
        </w:tc>
        <w:tc>
          <w:tcPr>
            <w:tcW w:w="6978" w:type="dxa"/>
            <w:gridSpan w:val="5"/>
            <w:tcBorders>
              <w:top w:val="nil"/>
              <w:left w:val="nil"/>
              <w:bottom w:val="single" w:sz="4" w:space="0" w:color="auto"/>
              <w:right w:val="nil"/>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 Kementerian &amp; Dinas Kehutanan</w:t>
            </w:r>
          </w:p>
        </w:tc>
      </w:tr>
      <w:tr w:rsidR="00A17C86" w:rsidRPr="00A17C86" w:rsidTr="00590A7C">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Kode</w:t>
            </w:r>
          </w:p>
        </w:tc>
        <w:tc>
          <w:tcPr>
            <w:tcW w:w="1382"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Panduan Analisis Dokumen</w:t>
            </w:r>
          </w:p>
        </w:tc>
        <w:tc>
          <w:tcPr>
            <w:tcW w:w="1811" w:type="dxa"/>
            <w:tcBorders>
              <w:top w:val="single" w:sz="4" w:space="0" w:color="auto"/>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Pertanyaan Wawancara</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Sumber Data</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Dokumen</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Dokumen</w:t>
            </w:r>
          </w:p>
        </w:tc>
        <w:tc>
          <w:tcPr>
            <w:tcW w:w="179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b/>
                <w:bCs/>
                <w:color w:val="000000"/>
                <w:sz w:val="20"/>
                <w:szCs w:val="20"/>
                <w:lang w:eastAsia="id-ID"/>
              </w:rPr>
            </w:pPr>
            <w:r w:rsidRPr="00A17C86">
              <w:rPr>
                <w:rFonts w:ascii="Times New Roman" w:eastAsia="Times New Roman" w:hAnsi="Times New Roman" w:cs="Times New Roman"/>
                <w:b/>
                <w:bCs/>
                <w:color w:val="000000"/>
                <w:sz w:val="20"/>
                <w:szCs w:val="20"/>
                <w:lang w:eastAsia="id-ID"/>
              </w:rPr>
              <w:t>Kategori Data Wawancara</w:t>
            </w:r>
          </w:p>
        </w:tc>
      </w:tr>
      <w:tr w:rsidR="00A17C86" w:rsidRPr="00A17C86" w:rsidTr="00590A7C">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FVIe1</w:t>
            </w:r>
          </w:p>
        </w:tc>
        <w:tc>
          <w:tcPr>
            <w:tcW w:w="1382"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xml:space="preserve"> dalam pelaksanaan REDD+ (demonstration ativities) </w:t>
            </w:r>
          </w:p>
        </w:tc>
        <w:tc>
          <w:tcPr>
            <w:tcW w:w="1811"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 </w:t>
            </w:r>
          </w:p>
        </w:tc>
        <w:tc>
          <w:tcPr>
            <w:tcW w:w="10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Kehutanan</w:t>
            </w:r>
          </w:p>
        </w:tc>
        <w:tc>
          <w:tcPr>
            <w:tcW w:w="1596"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Laporan Dinas Kehutanan 2010</w:t>
            </w:r>
          </w:p>
        </w:tc>
        <w:tc>
          <w:tcPr>
            <w:tcW w:w="1107" w:type="dxa"/>
            <w:tcBorders>
              <w:top w:val="nil"/>
              <w:left w:val="nil"/>
              <w:bottom w:val="single" w:sz="4" w:space="0" w:color="auto"/>
              <w:right w:val="single" w:sz="4" w:space="0" w:color="auto"/>
            </w:tcBorders>
            <w:shd w:val="clear" w:color="auto" w:fill="auto"/>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1</w:t>
            </w:r>
          </w:p>
        </w:tc>
        <w:tc>
          <w:tcPr>
            <w:tcW w:w="1797" w:type="dxa"/>
            <w:tcBorders>
              <w:top w:val="nil"/>
              <w:left w:val="nil"/>
              <w:bottom w:val="single" w:sz="4" w:space="0" w:color="auto"/>
              <w:right w:val="single" w:sz="4" w:space="0" w:color="auto"/>
            </w:tcBorders>
            <w:shd w:val="clear" w:color="000000" w:fill="000000"/>
            <w:hideMark/>
          </w:tcPr>
          <w:p w:rsidR="00A17C86" w:rsidRPr="00A17C86" w:rsidRDefault="00A17C86" w:rsidP="00A17C86">
            <w:pPr>
              <w:spacing w:after="0" w:line="240" w:lineRule="auto"/>
              <w:rPr>
                <w:rFonts w:ascii="Times New Roman" w:eastAsia="Times New Roman" w:hAnsi="Times New Roman" w:cs="Times New Roman"/>
                <w:sz w:val="20"/>
                <w:szCs w:val="20"/>
                <w:lang w:eastAsia="id-ID"/>
              </w:rPr>
            </w:pPr>
            <w:r w:rsidRPr="00A17C86">
              <w:rPr>
                <w:rFonts w:ascii="Times New Roman" w:eastAsia="Times New Roman" w:hAnsi="Times New Roman" w:cs="Times New Roman"/>
                <w:sz w:val="20"/>
                <w:szCs w:val="20"/>
                <w:lang w:eastAsia="id-ID"/>
              </w:rPr>
              <w:t xml:space="preserve">Jumlah kawasan yang dikelola secara berkelanjutan oleh pelaku pengelolaan hutan= 18.180.201 ha terdiri dari: 25 KPHL Provinsi 7.403.479  dan 31 KPHP = 10.776.722 ha </w:t>
            </w:r>
          </w:p>
        </w:tc>
        <w:tc>
          <w:tcPr>
            <w:tcW w:w="1382" w:type="dxa"/>
            <w:tcBorders>
              <w:top w:val="nil"/>
              <w:left w:val="nil"/>
              <w:bottom w:val="single" w:sz="4" w:space="0" w:color="auto"/>
              <w:right w:val="single" w:sz="4" w:space="0" w:color="auto"/>
            </w:tcBorders>
            <w:shd w:val="clear" w:color="000000" w:fill="000000"/>
            <w:noWrap/>
            <w:hideMark/>
          </w:tcPr>
          <w:p w:rsidR="00A17C86" w:rsidRPr="00A17C86" w:rsidRDefault="00A17C86" w:rsidP="00A17C86">
            <w:pPr>
              <w:spacing w:after="0" w:line="240" w:lineRule="auto"/>
              <w:jc w:val="center"/>
              <w:rPr>
                <w:rFonts w:ascii="Times New Roman" w:eastAsia="Times New Roman" w:hAnsi="Times New Roman" w:cs="Times New Roman"/>
                <w:color w:val="000000"/>
                <w:sz w:val="20"/>
                <w:szCs w:val="20"/>
                <w:lang w:eastAsia="id-ID"/>
              </w:rPr>
            </w:pPr>
            <w:r w:rsidRPr="00A17C86">
              <w:rPr>
                <w:rFonts w:ascii="Times New Roman" w:eastAsia="Times New Roman" w:hAnsi="Times New Roman" w:cs="Times New Roman"/>
                <w:color w:val="000000"/>
                <w:sz w:val="20"/>
                <w:szCs w:val="20"/>
                <w:lang w:eastAsia="id-ID"/>
              </w:rPr>
              <w:t>4</w:t>
            </w:r>
          </w:p>
        </w:tc>
      </w:tr>
    </w:tbl>
    <w:p w:rsidR="00A17C86" w:rsidRDefault="00A17C86"/>
    <w:sectPr w:rsidR="00A17C86"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90A7C"/>
    <w:rsid w:val="005D2D3D"/>
    <w:rsid w:val="006E5970"/>
    <w:rsid w:val="00767350"/>
    <w:rsid w:val="009F3E98"/>
    <w:rsid w:val="00A17C86"/>
    <w:rsid w:val="00A91768"/>
    <w:rsid w:val="00BB5203"/>
    <w:rsid w:val="00C622FE"/>
    <w:rsid w:val="00D74DB4"/>
    <w:rsid w:val="00D9058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A17C86"/>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8">
    <w:name w:val="font8"/>
    <w:basedOn w:val="Normal"/>
    <w:rsid w:val="00A17C86"/>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9">
    <w:name w:val="font9"/>
    <w:basedOn w:val="Normal"/>
    <w:rsid w:val="00A17C86"/>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9">
    <w:name w:val="xl119"/>
    <w:basedOn w:val="Normal"/>
    <w:rsid w:val="00A17C8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20">
    <w:name w:val="xl120"/>
    <w:basedOn w:val="Normal"/>
    <w:rsid w:val="00A17C8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1">
    <w:name w:val="xl121"/>
    <w:basedOn w:val="Normal"/>
    <w:rsid w:val="00A17C8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22">
    <w:name w:val="xl122"/>
    <w:basedOn w:val="Normal"/>
    <w:rsid w:val="00A17C86"/>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23">
    <w:name w:val="xl123"/>
    <w:basedOn w:val="Normal"/>
    <w:rsid w:val="00A17C8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835924293">
      <w:bodyDiv w:val="1"/>
      <w:marLeft w:val="0"/>
      <w:marRight w:val="0"/>
      <w:marTop w:val="0"/>
      <w:marBottom w:val="0"/>
      <w:divBdr>
        <w:top w:val="none" w:sz="0" w:space="0" w:color="auto"/>
        <w:left w:val="none" w:sz="0" w:space="0" w:color="auto"/>
        <w:bottom w:val="none" w:sz="0" w:space="0" w:color="auto"/>
        <w:right w:val="none" w:sz="0" w:space="0" w:color="auto"/>
      </w:divBdr>
    </w:div>
    <w:div w:id="1074205140">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16</Pages>
  <Words>4127</Words>
  <Characters>23524</Characters>
  <Application>Microsoft Office Word</Application>
  <DocSecurity>0</DocSecurity>
  <Lines>196</Lines>
  <Paragraphs>55</Paragraphs>
  <ScaleCrop>false</ScaleCrop>
  <Company/>
  <LinksUpToDate>false</LinksUpToDate>
  <CharactersWithSpaces>27596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6</cp:revision>
  <dcterms:created xsi:type="dcterms:W3CDTF">2012-10-16T01:42:00Z</dcterms:created>
  <dcterms:modified xsi:type="dcterms:W3CDTF">2012-10-16T09:44:00Z</dcterms:modified>
</cp:coreProperties>
</file>